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F52C" w14:textId="60FE43BB" w:rsidR="00177E53" w:rsidRPr="00663612" w:rsidRDefault="006829C3" w:rsidP="00177E53">
      <w:pPr>
        <w:rPr>
          <w:b/>
          <w:bCs/>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663612">
        <w:rPr>
          <w:b/>
          <w:bCs/>
        </w:rPr>
        <w:t xml:space="preserve">Appendix </w:t>
      </w:r>
      <w:r w:rsidRPr="00663612">
        <w:rPr>
          <w:b/>
          <w:bCs/>
        </w:rPr>
        <w:t>A</w:t>
      </w:r>
    </w:p>
    <w:p w14:paraId="1F3E9876" w14:textId="2A65068D" w:rsidR="00663612" w:rsidRDefault="00663612" w:rsidP="00663612">
      <w:pPr>
        <w:pStyle w:val="Heading1"/>
        <w:jc w:val="both"/>
        <w:rPr>
          <w:b w:val="0"/>
          <w:bCs/>
        </w:rPr>
      </w:pPr>
    </w:p>
    <w:p w14:paraId="4D22E653" w14:textId="5F9B602E" w:rsidR="00663612" w:rsidRPr="00663612" w:rsidRDefault="006829C3" w:rsidP="00663612">
      <w:r w:rsidRPr="00663612">
        <w:rPr>
          <w:b/>
          <w:bCs/>
        </w:rPr>
        <w:t xml:space="preserve">Proposed </w:t>
      </w:r>
      <w:r w:rsidR="00177E53">
        <w:rPr>
          <w:b/>
          <w:bCs/>
        </w:rPr>
        <w:t>key</w:t>
      </w:r>
      <w:r w:rsidRPr="00663612">
        <w:rPr>
          <w:b/>
          <w:bCs/>
        </w:rPr>
        <w:t xml:space="preserve"> changes to </w:t>
      </w:r>
      <w:r w:rsidR="00177E53">
        <w:rPr>
          <w:b/>
          <w:bCs/>
        </w:rPr>
        <w:t>A</w:t>
      </w:r>
      <w:r w:rsidRPr="00663612">
        <w:rPr>
          <w:b/>
          <w:bCs/>
        </w:rPr>
        <w:t xml:space="preserve">ttendance </w:t>
      </w:r>
      <w:r w:rsidR="00177E53">
        <w:rPr>
          <w:b/>
          <w:bCs/>
        </w:rPr>
        <w:t>P</w:t>
      </w:r>
      <w:r w:rsidRPr="00663612">
        <w:rPr>
          <w:b/>
          <w:bCs/>
        </w:rPr>
        <w:t xml:space="preserve">olicy and </w:t>
      </w:r>
      <w:r w:rsidR="00177E53">
        <w:rPr>
          <w:b/>
          <w:bCs/>
        </w:rPr>
        <w:t>P</w:t>
      </w:r>
      <w:r w:rsidRPr="00663612">
        <w:rPr>
          <w:b/>
          <w:bCs/>
        </w:rPr>
        <w:t>rocedure</w:t>
      </w:r>
    </w:p>
    <w:p w14:paraId="213A6F0B" w14:textId="77777777" w:rsidR="00663612" w:rsidRDefault="00663612" w:rsidP="00663612">
      <w:pPr>
        <w:pStyle w:val="Heading1"/>
        <w:jc w:val="both"/>
        <w:rPr>
          <w:b w:val="0"/>
          <w:bCs/>
        </w:rPr>
      </w:pPr>
    </w:p>
    <w:p w14:paraId="671D2655" w14:textId="41B31E38" w:rsidR="00663612" w:rsidRDefault="006829C3" w:rsidP="000769B9">
      <w:pPr>
        <w:pStyle w:val="ListParagraph"/>
        <w:numPr>
          <w:ilvl w:val="0"/>
          <w:numId w:val="2"/>
        </w:numPr>
        <w:jc w:val="both"/>
        <w:rPr>
          <w:rFonts w:cs="Arial"/>
          <w:color w:val="000000"/>
          <w:szCs w:val="24"/>
        </w:rPr>
      </w:pPr>
      <w:bookmarkStart w:id="0" w:name="_Hlk69837115"/>
      <w:r w:rsidRPr="000769B9">
        <w:rPr>
          <w:rFonts w:cs="Arial"/>
          <w:color w:val="000000"/>
          <w:szCs w:val="24"/>
        </w:rPr>
        <w:t xml:space="preserve">The </w:t>
      </w:r>
      <w:r w:rsidR="000769B9">
        <w:rPr>
          <w:rFonts w:cs="Arial"/>
          <w:color w:val="000000"/>
          <w:szCs w:val="24"/>
        </w:rPr>
        <w:t>M</w:t>
      </w:r>
      <w:r w:rsidRPr="000769B9">
        <w:rPr>
          <w:rFonts w:cs="Arial"/>
          <w:color w:val="000000"/>
          <w:szCs w:val="24"/>
        </w:rPr>
        <w:t xml:space="preserve">anagement of </w:t>
      </w:r>
      <w:r w:rsidR="000769B9">
        <w:rPr>
          <w:rFonts w:cs="Arial"/>
          <w:color w:val="000000"/>
          <w:szCs w:val="24"/>
        </w:rPr>
        <w:t>S</w:t>
      </w:r>
      <w:r w:rsidRPr="000769B9">
        <w:rPr>
          <w:rFonts w:cs="Arial"/>
          <w:color w:val="000000"/>
          <w:szCs w:val="24"/>
        </w:rPr>
        <w:t xml:space="preserve">ickness </w:t>
      </w:r>
      <w:r w:rsidR="000769B9">
        <w:rPr>
          <w:rFonts w:cs="Arial"/>
          <w:color w:val="000000"/>
          <w:szCs w:val="24"/>
        </w:rPr>
        <w:t>A</w:t>
      </w:r>
      <w:r w:rsidRPr="000769B9">
        <w:rPr>
          <w:rFonts w:cs="Arial"/>
          <w:color w:val="000000"/>
          <w:szCs w:val="24"/>
        </w:rPr>
        <w:t xml:space="preserve">bsence </w:t>
      </w:r>
      <w:r w:rsidR="000769B9">
        <w:rPr>
          <w:rFonts w:cs="Arial"/>
          <w:color w:val="000000"/>
          <w:szCs w:val="24"/>
        </w:rPr>
        <w:t>P</w:t>
      </w:r>
      <w:r w:rsidRPr="000769B9">
        <w:rPr>
          <w:rFonts w:cs="Arial"/>
          <w:color w:val="000000"/>
          <w:szCs w:val="24"/>
        </w:rPr>
        <w:t xml:space="preserve">olicy and </w:t>
      </w:r>
      <w:r w:rsidR="000769B9">
        <w:rPr>
          <w:rFonts w:cs="Arial"/>
          <w:color w:val="000000"/>
          <w:szCs w:val="24"/>
        </w:rPr>
        <w:t>P</w:t>
      </w:r>
      <w:r w:rsidRPr="000769B9">
        <w:rPr>
          <w:rFonts w:cs="Arial"/>
          <w:color w:val="000000"/>
          <w:szCs w:val="24"/>
        </w:rPr>
        <w:t>rocedure</w:t>
      </w:r>
      <w:r w:rsidRPr="000769B9">
        <w:rPr>
          <w:rFonts w:cs="Arial"/>
          <w:color w:val="000000"/>
          <w:szCs w:val="24"/>
        </w:rPr>
        <w:t xml:space="preserve"> </w:t>
      </w:r>
      <w:r w:rsidRPr="000769B9">
        <w:rPr>
          <w:rFonts w:cs="Arial"/>
          <w:color w:val="000000"/>
          <w:szCs w:val="24"/>
        </w:rPr>
        <w:t xml:space="preserve">has been renamed </w:t>
      </w:r>
      <w:r w:rsidR="000769B9">
        <w:rPr>
          <w:rFonts w:cs="Arial"/>
          <w:color w:val="000000"/>
          <w:szCs w:val="24"/>
        </w:rPr>
        <w:t>the A</w:t>
      </w:r>
      <w:r w:rsidRPr="000769B9">
        <w:rPr>
          <w:rFonts w:cs="Arial"/>
          <w:color w:val="000000"/>
          <w:szCs w:val="24"/>
        </w:rPr>
        <w:t xml:space="preserve">ttendance </w:t>
      </w:r>
      <w:r w:rsidR="000769B9">
        <w:rPr>
          <w:rFonts w:cs="Arial"/>
          <w:color w:val="000000"/>
          <w:szCs w:val="24"/>
        </w:rPr>
        <w:t>P</w:t>
      </w:r>
      <w:r w:rsidRPr="000769B9">
        <w:rPr>
          <w:rFonts w:cs="Arial"/>
          <w:color w:val="000000"/>
          <w:szCs w:val="24"/>
        </w:rPr>
        <w:t xml:space="preserve">olicy and </w:t>
      </w:r>
      <w:r w:rsidR="000769B9">
        <w:rPr>
          <w:rFonts w:cs="Arial"/>
          <w:color w:val="000000"/>
          <w:szCs w:val="24"/>
        </w:rPr>
        <w:t>P</w:t>
      </w:r>
      <w:r w:rsidRPr="000769B9">
        <w:rPr>
          <w:rFonts w:cs="Arial"/>
          <w:color w:val="000000"/>
          <w:szCs w:val="24"/>
        </w:rPr>
        <w:t>rocedure</w:t>
      </w:r>
      <w:r w:rsidR="000769B9">
        <w:rPr>
          <w:rFonts w:cs="Arial"/>
          <w:color w:val="000000"/>
          <w:szCs w:val="24"/>
        </w:rPr>
        <w:t>,</w:t>
      </w:r>
      <w:r w:rsidRPr="000769B9">
        <w:rPr>
          <w:rFonts w:cs="Arial"/>
          <w:color w:val="000000"/>
          <w:szCs w:val="24"/>
        </w:rPr>
        <w:t xml:space="preserve"> to reflect the focus on promoting good health and attendance, in addition to managing sickness absence.</w:t>
      </w:r>
    </w:p>
    <w:p w14:paraId="0F9B217D" w14:textId="77777777" w:rsidR="000769B9" w:rsidRPr="000769B9" w:rsidRDefault="000769B9" w:rsidP="000769B9">
      <w:pPr>
        <w:pStyle w:val="ListParagraph"/>
        <w:ind w:left="360"/>
        <w:jc w:val="both"/>
        <w:rPr>
          <w:rFonts w:cs="Arial"/>
          <w:color w:val="000000"/>
          <w:szCs w:val="24"/>
        </w:rPr>
      </w:pPr>
    </w:p>
    <w:p w14:paraId="64547400" w14:textId="77777777" w:rsidR="00663612" w:rsidRPr="000769B9" w:rsidRDefault="006829C3" w:rsidP="000769B9">
      <w:pPr>
        <w:pStyle w:val="ListParagraph"/>
        <w:numPr>
          <w:ilvl w:val="0"/>
          <w:numId w:val="2"/>
        </w:numPr>
        <w:jc w:val="both"/>
        <w:rPr>
          <w:rFonts w:cs="Arial"/>
          <w:color w:val="000000"/>
          <w:szCs w:val="24"/>
        </w:rPr>
      </w:pPr>
      <w:r w:rsidRPr="000769B9">
        <w:rPr>
          <w:rFonts w:cs="Arial"/>
          <w:color w:val="000000"/>
          <w:szCs w:val="24"/>
        </w:rPr>
        <w:t xml:space="preserve">The approach has shifted from </w:t>
      </w:r>
      <w:r w:rsidRPr="000769B9">
        <w:rPr>
          <w:rFonts w:cs="Arial"/>
          <w:color w:val="000000"/>
          <w:szCs w:val="24"/>
        </w:rPr>
        <w:t>short-term an</w:t>
      </w:r>
      <w:r w:rsidRPr="000769B9">
        <w:rPr>
          <w:rFonts w:cs="Arial"/>
          <w:color w:val="000000"/>
          <w:szCs w:val="24"/>
        </w:rPr>
        <w:t xml:space="preserve">d long-term absence management </w:t>
      </w:r>
      <w:r w:rsidRPr="000769B9">
        <w:rPr>
          <w:rFonts w:cs="Arial"/>
          <w:color w:val="000000"/>
          <w:szCs w:val="24"/>
        </w:rPr>
        <w:t xml:space="preserve">to </w:t>
      </w:r>
      <w:r w:rsidRPr="000769B9">
        <w:rPr>
          <w:rFonts w:cs="Arial"/>
          <w:color w:val="000000"/>
          <w:szCs w:val="24"/>
        </w:rPr>
        <w:t xml:space="preserve">procedures for managing </w:t>
      </w:r>
      <w:r w:rsidRPr="000769B9">
        <w:rPr>
          <w:rFonts w:cs="Arial"/>
          <w:color w:val="000000"/>
          <w:szCs w:val="24"/>
        </w:rPr>
        <w:t xml:space="preserve">all </w:t>
      </w:r>
      <w:r w:rsidRPr="000769B9">
        <w:rPr>
          <w:rFonts w:cs="Arial"/>
          <w:color w:val="000000"/>
          <w:szCs w:val="24"/>
        </w:rPr>
        <w:t>absence</w:t>
      </w:r>
      <w:r w:rsidRPr="000769B9">
        <w:rPr>
          <w:rFonts w:cs="Arial"/>
          <w:color w:val="000000"/>
          <w:szCs w:val="24"/>
        </w:rPr>
        <w:t>s</w:t>
      </w:r>
      <w:r w:rsidRPr="000769B9">
        <w:rPr>
          <w:rFonts w:cs="Arial"/>
          <w:color w:val="000000"/>
          <w:szCs w:val="24"/>
        </w:rPr>
        <w:t xml:space="preserve"> (regardless of length) and supporting employees to return to </w:t>
      </w:r>
      <w:r w:rsidRPr="000769B9">
        <w:rPr>
          <w:rFonts w:cs="Arial"/>
          <w:color w:val="000000"/>
          <w:szCs w:val="24"/>
        </w:rPr>
        <w:t xml:space="preserve">and remain in </w:t>
      </w:r>
      <w:r w:rsidRPr="000769B9">
        <w:rPr>
          <w:rFonts w:cs="Arial"/>
          <w:color w:val="000000"/>
          <w:szCs w:val="24"/>
        </w:rPr>
        <w:t>work.</w:t>
      </w:r>
    </w:p>
    <w:p w14:paraId="0884C4B7" w14:textId="77777777" w:rsidR="000769B9" w:rsidRDefault="000769B9" w:rsidP="000769B9">
      <w:pPr>
        <w:pStyle w:val="ListParagraph"/>
        <w:ind w:left="360"/>
        <w:jc w:val="both"/>
        <w:rPr>
          <w:rFonts w:cs="Arial"/>
          <w:color w:val="000000"/>
          <w:szCs w:val="24"/>
        </w:rPr>
      </w:pPr>
    </w:p>
    <w:p w14:paraId="16F31E23" w14:textId="4D607567" w:rsidR="00663612" w:rsidRPr="000769B9" w:rsidRDefault="006829C3" w:rsidP="000769B9">
      <w:pPr>
        <w:pStyle w:val="ListParagraph"/>
        <w:numPr>
          <w:ilvl w:val="0"/>
          <w:numId w:val="2"/>
        </w:numPr>
        <w:jc w:val="both"/>
        <w:rPr>
          <w:rFonts w:cs="Arial"/>
          <w:color w:val="000000"/>
          <w:szCs w:val="24"/>
        </w:rPr>
      </w:pPr>
      <w:r w:rsidRPr="000769B9">
        <w:rPr>
          <w:rFonts w:cs="Arial"/>
          <w:color w:val="000000"/>
          <w:szCs w:val="24"/>
        </w:rPr>
        <w:t>Pr</w:t>
      </w:r>
      <w:r w:rsidRPr="000769B9">
        <w:rPr>
          <w:rFonts w:cs="Arial"/>
          <w:color w:val="000000"/>
          <w:szCs w:val="24"/>
        </w:rPr>
        <w:t>escriptive timeframes and procedures</w:t>
      </w:r>
      <w:r w:rsidRPr="000769B9">
        <w:rPr>
          <w:rFonts w:cs="Arial"/>
          <w:color w:val="000000"/>
          <w:szCs w:val="24"/>
        </w:rPr>
        <w:t xml:space="preserve"> have been removed</w:t>
      </w:r>
      <w:r w:rsidRPr="000769B9">
        <w:rPr>
          <w:rFonts w:cs="Arial"/>
          <w:color w:val="000000"/>
          <w:szCs w:val="24"/>
        </w:rPr>
        <w:t xml:space="preserve"> to allow managers to </w:t>
      </w:r>
      <w:r w:rsidRPr="000769B9">
        <w:rPr>
          <w:rFonts w:cs="Arial"/>
          <w:color w:val="000000"/>
          <w:szCs w:val="24"/>
        </w:rPr>
        <w:t>make appropriate</w:t>
      </w:r>
      <w:r w:rsidRPr="000769B9">
        <w:rPr>
          <w:rFonts w:cs="Arial"/>
          <w:color w:val="000000"/>
          <w:szCs w:val="24"/>
        </w:rPr>
        <w:t xml:space="preserve"> judgement</w:t>
      </w:r>
      <w:r w:rsidRPr="000769B9">
        <w:rPr>
          <w:rFonts w:cs="Arial"/>
          <w:color w:val="000000"/>
          <w:szCs w:val="24"/>
        </w:rPr>
        <w:t>s</w:t>
      </w:r>
      <w:r w:rsidRPr="000769B9">
        <w:rPr>
          <w:rFonts w:cs="Arial"/>
          <w:color w:val="000000"/>
          <w:szCs w:val="24"/>
        </w:rPr>
        <w:t xml:space="preserve"> based on the individual circumstances of the absence and the needs of the service.</w:t>
      </w:r>
    </w:p>
    <w:p w14:paraId="604D78C9" w14:textId="77777777" w:rsidR="000769B9" w:rsidRDefault="000769B9" w:rsidP="000769B9">
      <w:pPr>
        <w:pStyle w:val="ListParagraph"/>
        <w:ind w:left="360"/>
        <w:jc w:val="both"/>
        <w:rPr>
          <w:rFonts w:cs="Arial"/>
          <w:color w:val="000000"/>
          <w:szCs w:val="24"/>
        </w:rPr>
      </w:pPr>
    </w:p>
    <w:p w14:paraId="07D7DB0B" w14:textId="687B6137" w:rsidR="00663612" w:rsidRPr="000769B9" w:rsidRDefault="006829C3" w:rsidP="000769B9">
      <w:pPr>
        <w:pStyle w:val="ListParagraph"/>
        <w:numPr>
          <w:ilvl w:val="0"/>
          <w:numId w:val="2"/>
        </w:numPr>
        <w:jc w:val="both"/>
        <w:rPr>
          <w:rFonts w:cs="Arial"/>
          <w:color w:val="000000"/>
          <w:szCs w:val="24"/>
        </w:rPr>
      </w:pPr>
      <w:r w:rsidRPr="000769B9">
        <w:rPr>
          <w:rFonts w:cs="Arial"/>
          <w:color w:val="000000"/>
          <w:szCs w:val="24"/>
        </w:rPr>
        <w:t>R</w:t>
      </w:r>
      <w:r w:rsidRPr="000769B9">
        <w:rPr>
          <w:rFonts w:cs="Arial"/>
          <w:color w:val="000000"/>
          <w:szCs w:val="24"/>
        </w:rPr>
        <w:t xml:space="preserve">eferrals to Occupational Health </w:t>
      </w:r>
      <w:r w:rsidRPr="000769B9">
        <w:rPr>
          <w:rFonts w:cs="Arial"/>
          <w:color w:val="000000"/>
          <w:szCs w:val="24"/>
        </w:rPr>
        <w:t xml:space="preserve">are now </w:t>
      </w:r>
      <w:r w:rsidRPr="000769B9">
        <w:rPr>
          <w:rFonts w:cs="Arial"/>
          <w:color w:val="000000"/>
          <w:szCs w:val="24"/>
        </w:rPr>
        <w:t>optional rather than mandatory, to enable managers to consider the option with the employee and refer as and when necessary.</w:t>
      </w:r>
    </w:p>
    <w:p w14:paraId="30DFBB47" w14:textId="77777777" w:rsidR="000769B9" w:rsidRDefault="000769B9" w:rsidP="000769B9">
      <w:pPr>
        <w:pStyle w:val="ListParagraph"/>
        <w:ind w:left="360"/>
        <w:jc w:val="both"/>
        <w:rPr>
          <w:rFonts w:cs="Arial"/>
          <w:color w:val="000000"/>
          <w:szCs w:val="24"/>
        </w:rPr>
      </w:pPr>
    </w:p>
    <w:p w14:paraId="7EFADC8E" w14:textId="171F8FE3" w:rsidR="00663612" w:rsidRPr="000769B9" w:rsidRDefault="006829C3" w:rsidP="000769B9">
      <w:pPr>
        <w:pStyle w:val="ListParagraph"/>
        <w:numPr>
          <w:ilvl w:val="0"/>
          <w:numId w:val="2"/>
        </w:numPr>
        <w:jc w:val="both"/>
        <w:rPr>
          <w:rFonts w:cs="Arial"/>
          <w:color w:val="000000"/>
          <w:szCs w:val="24"/>
        </w:rPr>
      </w:pPr>
      <w:r w:rsidRPr="000769B9">
        <w:rPr>
          <w:rFonts w:cs="Arial"/>
          <w:color w:val="000000"/>
          <w:szCs w:val="24"/>
        </w:rPr>
        <w:t>The</w:t>
      </w:r>
      <w:r w:rsidRPr="000769B9">
        <w:rPr>
          <w:rFonts w:cs="Arial"/>
          <w:color w:val="000000"/>
          <w:szCs w:val="24"/>
        </w:rPr>
        <w:t xml:space="preserve"> 8-weekly case review</w:t>
      </w:r>
      <w:r w:rsidRPr="000769B9">
        <w:rPr>
          <w:rFonts w:cs="Arial"/>
          <w:color w:val="000000"/>
          <w:szCs w:val="24"/>
        </w:rPr>
        <w:t xml:space="preserve"> meetings have been removed</w:t>
      </w:r>
      <w:r w:rsidRPr="000769B9">
        <w:rPr>
          <w:rFonts w:cs="Arial"/>
          <w:color w:val="000000"/>
          <w:szCs w:val="24"/>
        </w:rPr>
        <w:t xml:space="preserve"> from the procedure for managing prolonged absenc</w:t>
      </w:r>
      <w:r w:rsidRPr="000769B9">
        <w:rPr>
          <w:rFonts w:cs="Arial"/>
          <w:color w:val="000000"/>
          <w:szCs w:val="24"/>
        </w:rPr>
        <w:t>e, yet there is greater emphasis on the manager and employee having ongoing, meaningful conversations throughout the absence.</w:t>
      </w:r>
    </w:p>
    <w:p w14:paraId="7D6ADD42" w14:textId="77777777" w:rsidR="000769B9" w:rsidRDefault="000769B9" w:rsidP="000769B9">
      <w:pPr>
        <w:pStyle w:val="ListParagraph"/>
        <w:ind w:left="360"/>
        <w:jc w:val="both"/>
        <w:rPr>
          <w:rFonts w:cs="Arial"/>
          <w:color w:val="000000"/>
          <w:szCs w:val="24"/>
        </w:rPr>
      </w:pPr>
    </w:p>
    <w:p w14:paraId="78EC3030" w14:textId="12205508" w:rsidR="00663612" w:rsidRPr="000769B9" w:rsidRDefault="006829C3" w:rsidP="000769B9">
      <w:pPr>
        <w:pStyle w:val="ListParagraph"/>
        <w:numPr>
          <w:ilvl w:val="0"/>
          <w:numId w:val="2"/>
        </w:numPr>
        <w:jc w:val="both"/>
        <w:rPr>
          <w:rFonts w:cs="Arial"/>
          <w:color w:val="000000"/>
          <w:szCs w:val="24"/>
        </w:rPr>
      </w:pPr>
      <w:r w:rsidRPr="000769B9">
        <w:rPr>
          <w:rFonts w:cs="Arial"/>
          <w:color w:val="000000"/>
          <w:szCs w:val="24"/>
        </w:rPr>
        <w:t>A</w:t>
      </w:r>
      <w:r w:rsidRPr="000769B9">
        <w:rPr>
          <w:rFonts w:cs="Arial"/>
          <w:color w:val="000000"/>
          <w:szCs w:val="24"/>
        </w:rPr>
        <w:t xml:space="preserve">n absence review meeting </w:t>
      </w:r>
      <w:r w:rsidRPr="000769B9">
        <w:rPr>
          <w:rFonts w:cs="Arial"/>
          <w:color w:val="000000"/>
          <w:szCs w:val="24"/>
        </w:rPr>
        <w:t>has bee</w:t>
      </w:r>
      <w:r w:rsidRPr="000769B9">
        <w:rPr>
          <w:rFonts w:cs="Arial"/>
          <w:color w:val="000000"/>
          <w:szCs w:val="24"/>
        </w:rPr>
        <w:t xml:space="preserve">n introduced </w:t>
      </w:r>
      <w:r w:rsidRPr="000769B9">
        <w:rPr>
          <w:rFonts w:cs="Arial"/>
          <w:color w:val="000000"/>
          <w:szCs w:val="24"/>
        </w:rPr>
        <w:t xml:space="preserve">into the procedure for managing prolonged absence to consider any final options </w:t>
      </w:r>
      <w:r w:rsidRPr="000769B9">
        <w:rPr>
          <w:rFonts w:cs="Arial"/>
          <w:color w:val="000000"/>
          <w:szCs w:val="24"/>
        </w:rPr>
        <w:t>that may</w:t>
      </w:r>
      <w:r w:rsidRPr="000769B9">
        <w:rPr>
          <w:rFonts w:cs="Arial"/>
          <w:color w:val="000000"/>
          <w:szCs w:val="24"/>
        </w:rPr>
        <w:t xml:space="preserve"> facilitate a return to work ahead of </w:t>
      </w:r>
      <w:r w:rsidRPr="000769B9">
        <w:rPr>
          <w:rFonts w:cs="Arial"/>
          <w:color w:val="000000"/>
          <w:szCs w:val="24"/>
        </w:rPr>
        <w:t>an</w:t>
      </w:r>
      <w:r w:rsidRPr="000769B9">
        <w:rPr>
          <w:rFonts w:cs="Arial"/>
          <w:color w:val="000000"/>
          <w:szCs w:val="24"/>
        </w:rPr>
        <w:t xml:space="preserve"> attendance hearing. </w:t>
      </w:r>
    </w:p>
    <w:p w14:paraId="184D3B0C" w14:textId="77777777" w:rsidR="000769B9" w:rsidRDefault="000769B9" w:rsidP="000769B9">
      <w:pPr>
        <w:pStyle w:val="ListParagraph"/>
        <w:ind w:left="360"/>
        <w:jc w:val="both"/>
        <w:rPr>
          <w:rFonts w:cs="Arial"/>
          <w:color w:val="000000"/>
          <w:szCs w:val="24"/>
        </w:rPr>
      </w:pPr>
    </w:p>
    <w:p w14:paraId="1801A457" w14:textId="07B72684" w:rsidR="00663612" w:rsidRPr="000769B9" w:rsidRDefault="006829C3" w:rsidP="000769B9">
      <w:pPr>
        <w:pStyle w:val="ListParagraph"/>
        <w:numPr>
          <w:ilvl w:val="0"/>
          <w:numId w:val="2"/>
        </w:numPr>
        <w:jc w:val="both"/>
        <w:rPr>
          <w:rFonts w:cs="Arial"/>
          <w:color w:val="000000"/>
          <w:szCs w:val="24"/>
        </w:rPr>
      </w:pPr>
      <w:r w:rsidRPr="000769B9">
        <w:rPr>
          <w:rFonts w:cs="Arial"/>
          <w:color w:val="000000"/>
          <w:szCs w:val="24"/>
        </w:rPr>
        <w:t>T</w:t>
      </w:r>
      <w:r w:rsidRPr="000769B9">
        <w:rPr>
          <w:rFonts w:cs="Arial"/>
          <w:color w:val="000000"/>
          <w:szCs w:val="24"/>
        </w:rPr>
        <w:t>he search period in the redeployment process</w:t>
      </w:r>
      <w:r w:rsidRPr="000769B9">
        <w:rPr>
          <w:rFonts w:cs="Arial"/>
          <w:color w:val="000000"/>
          <w:szCs w:val="24"/>
        </w:rPr>
        <w:t xml:space="preserve"> has been increased</w:t>
      </w:r>
      <w:r w:rsidRPr="000769B9">
        <w:rPr>
          <w:rFonts w:cs="Arial"/>
          <w:color w:val="000000"/>
          <w:szCs w:val="24"/>
        </w:rPr>
        <w:t xml:space="preserve"> to 12</w:t>
      </w:r>
      <w:r w:rsidRPr="000769B9">
        <w:rPr>
          <w:rFonts w:cs="Arial"/>
          <w:color w:val="000000"/>
          <w:szCs w:val="24"/>
        </w:rPr>
        <w:t xml:space="preserve"> </w:t>
      </w:r>
      <w:r w:rsidRPr="000769B9">
        <w:rPr>
          <w:rFonts w:cs="Arial"/>
          <w:color w:val="000000"/>
          <w:szCs w:val="24"/>
        </w:rPr>
        <w:t xml:space="preserve">weeks </w:t>
      </w:r>
      <w:r w:rsidRPr="000769B9">
        <w:rPr>
          <w:rFonts w:cs="Arial"/>
          <w:color w:val="000000"/>
          <w:szCs w:val="24"/>
        </w:rPr>
        <w:t>for all employee</w:t>
      </w:r>
      <w:r w:rsidRPr="000769B9">
        <w:rPr>
          <w:rFonts w:cs="Arial"/>
          <w:color w:val="000000"/>
          <w:szCs w:val="24"/>
        </w:rPr>
        <w:t>s</w:t>
      </w:r>
      <w:r w:rsidRPr="000769B9">
        <w:rPr>
          <w:rFonts w:cs="Arial"/>
          <w:color w:val="000000"/>
          <w:szCs w:val="24"/>
        </w:rPr>
        <w:t xml:space="preserve"> as standard; previously this was limited to 4 weeks unless the employee had a disability. However</w:t>
      </w:r>
      <w:r w:rsidRPr="000769B9">
        <w:rPr>
          <w:rFonts w:cs="Arial"/>
          <w:color w:val="000000"/>
          <w:szCs w:val="24"/>
        </w:rPr>
        <w:t xml:space="preserve">, </w:t>
      </w:r>
      <w:r w:rsidRPr="000769B9">
        <w:rPr>
          <w:rFonts w:cs="Arial"/>
          <w:color w:val="000000"/>
          <w:szCs w:val="24"/>
        </w:rPr>
        <w:t>employees with a disability will</w:t>
      </w:r>
      <w:r w:rsidRPr="000769B9">
        <w:rPr>
          <w:rFonts w:cs="Arial"/>
          <w:color w:val="000000"/>
          <w:szCs w:val="24"/>
        </w:rPr>
        <w:t xml:space="preserve"> </w:t>
      </w:r>
      <w:r w:rsidRPr="000769B9">
        <w:rPr>
          <w:rFonts w:cs="Arial"/>
          <w:color w:val="000000"/>
          <w:szCs w:val="24"/>
        </w:rPr>
        <w:t xml:space="preserve">retain </w:t>
      </w:r>
      <w:r w:rsidRPr="000769B9">
        <w:rPr>
          <w:rFonts w:cs="Arial"/>
          <w:color w:val="000000"/>
          <w:szCs w:val="24"/>
        </w:rPr>
        <w:t>a higher priority status when being considered for alternative roles</w:t>
      </w:r>
      <w:r w:rsidRPr="000769B9">
        <w:rPr>
          <w:rFonts w:cs="Arial"/>
          <w:color w:val="000000"/>
          <w:szCs w:val="24"/>
        </w:rPr>
        <w:t>.</w:t>
      </w:r>
    </w:p>
    <w:p w14:paraId="33FBFF3C" w14:textId="77777777" w:rsidR="000769B9" w:rsidRDefault="000769B9" w:rsidP="000769B9">
      <w:pPr>
        <w:pStyle w:val="ListParagraph"/>
        <w:ind w:left="360"/>
        <w:jc w:val="both"/>
        <w:rPr>
          <w:rFonts w:cs="Arial"/>
          <w:color w:val="000000"/>
          <w:szCs w:val="24"/>
        </w:rPr>
      </w:pPr>
    </w:p>
    <w:p w14:paraId="120A5DAC" w14:textId="65DEEB76" w:rsidR="00663612" w:rsidRPr="000769B9" w:rsidRDefault="006829C3" w:rsidP="000769B9">
      <w:pPr>
        <w:pStyle w:val="ListParagraph"/>
        <w:numPr>
          <w:ilvl w:val="0"/>
          <w:numId w:val="2"/>
        </w:numPr>
        <w:jc w:val="both"/>
        <w:rPr>
          <w:rFonts w:cs="Arial"/>
          <w:color w:val="000000"/>
          <w:szCs w:val="24"/>
        </w:rPr>
      </w:pPr>
      <w:r w:rsidRPr="000769B9">
        <w:rPr>
          <w:rFonts w:cs="Arial"/>
          <w:color w:val="000000"/>
          <w:szCs w:val="24"/>
        </w:rPr>
        <w:t>There has been an amendment to the wording ar</w:t>
      </w:r>
      <w:r w:rsidRPr="000769B9">
        <w:rPr>
          <w:rFonts w:cs="Arial"/>
          <w:color w:val="000000"/>
          <w:szCs w:val="24"/>
        </w:rPr>
        <w:t>ound phased returns. The new procedure reiterates that a phased return should not usually last longer than 4 weeks, as per the current policy, but the wording "unless occupational health advice recommends otherwise" has been removed.</w:t>
      </w:r>
    </w:p>
    <w:p w14:paraId="4C16FCA8" w14:textId="77777777" w:rsidR="000769B9" w:rsidRDefault="000769B9" w:rsidP="000769B9">
      <w:pPr>
        <w:pStyle w:val="ListParagraph"/>
        <w:ind w:left="360"/>
        <w:jc w:val="both"/>
        <w:rPr>
          <w:rFonts w:cs="Arial"/>
          <w:color w:val="000000"/>
          <w:szCs w:val="24"/>
        </w:rPr>
      </w:pPr>
    </w:p>
    <w:p w14:paraId="32B84E93" w14:textId="657B73D1" w:rsidR="00663612" w:rsidRPr="000769B9" w:rsidRDefault="006829C3" w:rsidP="000769B9">
      <w:pPr>
        <w:pStyle w:val="ListParagraph"/>
        <w:numPr>
          <w:ilvl w:val="0"/>
          <w:numId w:val="2"/>
        </w:numPr>
        <w:jc w:val="both"/>
        <w:rPr>
          <w:rFonts w:cs="Arial"/>
          <w:color w:val="000000"/>
          <w:szCs w:val="24"/>
        </w:rPr>
      </w:pPr>
      <w:r w:rsidRPr="000769B9">
        <w:rPr>
          <w:rFonts w:cs="Arial"/>
          <w:color w:val="000000"/>
          <w:szCs w:val="24"/>
        </w:rPr>
        <w:t>A new sickness absence</w:t>
      </w:r>
      <w:r w:rsidRPr="000769B9">
        <w:rPr>
          <w:rFonts w:cs="Arial"/>
          <w:color w:val="000000"/>
          <w:szCs w:val="24"/>
        </w:rPr>
        <w:t xml:space="preserve"> trigger has been added for situations where the numerical triggers have not been reached but there is reasonable cause for concern about patterns of absence. </w:t>
      </w:r>
    </w:p>
    <w:p w14:paraId="559E7655" w14:textId="77777777" w:rsidR="000769B9" w:rsidRDefault="000769B9" w:rsidP="000769B9">
      <w:pPr>
        <w:pStyle w:val="ListParagraph"/>
        <w:ind w:left="360"/>
        <w:jc w:val="both"/>
        <w:rPr>
          <w:rFonts w:cs="Arial"/>
          <w:color w:val="000000"/>
          <w:szCs w:val="24"/>
        </w:rPr>
      </w:pPr>
    </w:p>
    <w:p w14:paraId="63AB34FE" w14:textId="28E789CE" w:rsidR="00663612" w:rsidRPr="000769B9" w:rsidRDefault="006829C3" w:rsidP="000769B9">
      <w:pPr>
        <w:pStyle w:val="ListParagraph"/>
        <w:numPr>
          <w:ilvl w:val="0"/>
          <w:numId w:val="2"/>
        </w:numPr>
        <w:jc w:val="both"/>
        <w:rPr>
          <w:rFonts w:cs="Arial"/>
          <w:color w:val="000000"/>
          <w:szCs w:val="24"/>
        </w:rPr>
      </w:pPr>
      <w:r w:rsidRPr="000769B9">
        <w:rPr>
          <w:rFonts w:cs="Arial"/>
          <w:color w:val="000000"/>
          <w:szCs w:val="24"/>
        </w:rPr>
        <w:t>The wording of the existing trigger level has been revised from "a total of 10 working days (pro</w:t>
      </w:r>
      <w:r w:rsidRPr="000769B9">
        <w:rPr>
          <w:rFonts w:cs="Arial"/>
          <w:color w:val="000000"/>
          <w:szCs w:val="24"/>
        </w:rPr>
        <w:t xml:space="preserve"> rata for part time employees)" to "any absence which amounts to more than 2 of your working weeks" to avoid confusion around pro rata calculations.</w:t>
      </w:r>
    </w:p>
    <w:p w14:paraId="002C696D" w14:textId="77777777" w:rsidR="000769B9" w:rsidRDefault="000769B9" w:rsidP="000769B9">
      <w:pPr>
        <w:pStyle w:val="ListParagraph"/>
        <w:ind w:left="360"/>
        <w:jc w:val="both"/>
        <w:rPr>
          <w:rFonts w:cs="Arial"/>
          <w:color w:val="000000"/>
          <w:szCs w:val="24"/>
        </w:rPr>
      </w:pPr>
    </w:p>
    <w:p w14:paraId="3A1CDB13" w14:textId="3B2E7432" w:rsidR="00663612" w:rsidRPr="000769B9" w:rsidRDefault="006829C3" w:rsidP="000769B9">
      <w:pPr>
        <w:pStyle w:val="ListParagraph"/>
        <w:numPr>
          <w:ilvl w:val="0"/>
          <w:numId w:val="2"/>
        </w:numPr>
        <w:jc w:val="both"/>
        <w:rPr>
          <w:rFonts w:cs="Arial"/>
          <w:color w:val="000000"/>
          <w:szCs w:val="24"/>
        </w:rPr>
      </w:pPr>
      <w:r w:rsidRPr="000769B9">
        <w:rPr>
          <w:rFonts w:cs="Arial"/>
          <w:color w:val="000000"/>
          <w:szCs w:val="24"/>
        </w:rPr>
        <w:t>The appeal period for employees who are dismissed at an attendance hearing has been reduced from 10 days to</w:t>
      </w:r>
      <w:r w:rsidRPr="000769B9">
        <w:rPr>
          <w:rFonts w:cs="Arial"/>
          <w:color w:val="000000"/>
          <w:szCs w:val="24"/>
        </w:rPr>
        <w:t xml:space="preserve"> 5 days in line with other HR procedures.</w:t>
      </w:r>
    </w:p>
    <w:p w14:paraId="05D711C8" w14:textId="77777777" w:rsidR="000769B9" w:rsidRDefault="000769B9" w:rsidP="000769B9">
      <w:pPr>
        <w:pStyle w:val="ListParagraph"/>
        <w:ind w:left="360"/>
        <w:jc w:val="both"/>
        <w:rPr>
          <w:rFonts w:cs="Arial"/>
          <w:color w:val="000000"/>
          <w:szCs w:val="24"/>
        </w:rPr>
      </w:pPr>
    </w:p>
    <w:p w14:paraId="000D49D6" w14:textId="42D5241C" w:rsidR="00663612" w:rsidRPr="000769B9" w:rsidRDefault="006829C3" w:rsidP="000769B9">
      <w:pPr>
        <w:pStyle w:val="ListParagraph"/>
        <w:numPr>
          <w:ilvl w:val="0"/>
          <w:numId w:val="2"/>
        </w:numPr>
        <w:jc w:val="both"/>
        <w:rPr>
          <w:rFonts w:cs="Arial"/>
          <w:color w:val="000000"/>
          <w:szCs w:val="24"/>
        </w:rPr>
      </w:pPr>
      <w:r w:rsidRPr="000769B9">
        <w:rPr>
          <w:rFonts w:cs="Arial"/>
          <w:color w:val="000000"/>
          <w:szCs w:val="24"/>
        </w:rPr>
        <w:t>E</w:t>
      </w:r>
      <w:r w:rsidRPr="000769B9">
        <w:rPr>
          <w:rFonts w:cs="Arial"/>
          <w:color w:val="000000"/>
          <w:szCs w:val="24"/>
        </w:rPr>
        <w:t>xample scenarios of where occupational sick pay may be withheld</w:t>
      </w:r>
      <w:r w:rsidRPr="000769B9">
        <w:rPr>
          <w:rFonts w:cs="Arial"/>
          <w:color w:val="000000"/>
          <w:szCs w:val="24"/>
        </w:rPr>
        <w:t xml:space="preserve"> have been added</w:t>
      </w:r>
      <w:r w:rsidRPr="000769B9">
        <w:rPr>
          <w:rFonts w:cs="Arial"/>
          <w:color w:val="000000"/>
          <w:szCs w:val="24"/>
        </w:rPr>
        <w:t>.</w:t>
      </w:r>
    </w:p>
    <w:p w14:paraId="5981362C" w14:textId="77777777" w:rsidR="000769B9" w:rsidRPr="000769B9" w:rsidRDefault="000769B9" w:rsidP="000769B9">
      <w:pPr>
        <w:pStyle w:val="ListParagraph"/>
        <w:ind w:left="360"/>
        <w:jc w:val="both"/>
        <w:rPr>
          <w:rFonts w:cs="Arial"/>
          <w:color w:val="000000"/>
          <w:szCs w:val="24"/>
        </w:rPr>
      </w:pPr>
    </w:p>
    <w:p w14:paraId="18D659BB" w14:textId="26D1CBB9" w:rsidR="00663612" w:rsidRPr="000769B9" w:rsidRDefault="006829C3" w:rsidP="000769B9">
      <w:pPr>
        <w:pStyle w:val="ListParagraph"/>
        <w:numPr>
          <w:ilvl w:val="0"/>
          <w:numId w:val="2"/>
        </w:numPr>
        <w:jc w:val="both"/>
        <w:rPr>
          <w:rFonts w:cs="Arial"/>
          <w:color w:val="000000"/>
          <w:szCs w:val="24"/>
        </w:rPr>
      </w:pPr>
      <w:r w:rsidRPr="000769B9">
        <w:rPr>
          <w:rFonts w:eastAsia="Calibri" w:cs="Arial"/>
          <w:color w:val="000000"/>
          <w:szCs w:val="24"/>
          <w:lang w:eastAsia="en-US"/>
        </w:rPr>
        <w:t xml:space="preserve">Replace the </w:t>
      </w:r>
      <w:r w:rsidR="00B443B0" w:rsidRPr="000769B9">
        <w:rPr>
          <w:rFonts w:eastAsia="Calibri" w:cs="Arial"/>
          <w:color w:val="000000"/>
          <w:szCs w:val="24"/>
          <w:lang w:eastAsia="en-US"/>
        </w:rPr>
        <w:t xml:space="preserve">discretionary </w:t>
      </w:r>
      <w:r w:rsidRPr="000769B9">
        <w:rPr>
          <w:rFonts w:eastAsia="Calibri" w:cs="Arial"/>
          <w:color w:val="000000"/>
          <w:szCs w:val="24"/>
          <w:lang w:eastAsia="en-US"/>
        </w:rPr>
        <w:t>extension of sick pay guidance to default to the NJC sick pay provisions. This allows for consideration of</w:t>
      </w:r>
      <w:r w:rsidRPr="000769B9">
        <w:rPr>
          <w:rFonts w:eastAsia="Calibri" w:cs="Arial"/>
          <w:color w:val="000000"/>
          <w:szCs w:val="24"/>
          <w:lang w:eastAsia="en-US"/>
        </w:rPr>
        <w:t xml:space="preserve"> extensions to normal sick pay entitlements but does not have the prescriptive approach currently in place. It allows individual circumstances to be considered</w:t>
      </w:r>
      <w:r w:rsidRPr="000769B9">
        <w:rPr>
          <w:rFonts w:eastAsia="Calibri" w:cs="Arial"/>
          <w:color w:val="000000"/>
          <w:szCs w:val="24"/>
          <w:lang w:eastAsia="en-US"/>
        </w:rPr>
        <w:t>.</w:t>
      </w:r>
    </w:p>
    <w:p w14:paraId="4A92F4F8" w14:textId="77777777" w:rsidR="000769B9" w:rsidRDefault="000769B9" w:rsidP="000769B9">
      <w:pPr>
        <w:pStyle w:val="ListParagraph"/>
        <w:ind w:left="360"/>
        <w:jc w:val="both"/>
        <w:rPr>
          <w:rFonts w:cs="Arial"/>
          <w:color w:val="000000"/>
          <w:szCs w:val="24"/>
        </w:rPr>
      </w:pPr>
    </w:p>
    <w:p w14:paraId="723D1D3E" w14:textId="4D081824" w:rsidR="00663612" w:rsidRPr="000769B9" w:rsidRDefault="006829C3" w:rsidP="000769B9">
      <w:pPr>
        <w:pStyle w:val="ListParagraph"/>
        <w:numPr>
          <w:ilvl w:val="0"/>
          <w:numId w:val="2"/>
        </w:numPr>
        <w:jc w:val="both"/>
        <w:rPr>
          <w:rFonts w:cs="Arial"/>
          <w:color w:val="000000"/>
          <w:szCs w:val="24"/>
        </w:rPr>
      </w:pPr>
      <w:r w:rsidRPr="000769B9">
        <w:rPr>
          <w:rFonts w:cs="Arial"/>
          <w:color w:val="000000"/>
          <w:szCs w:val="24"/>
        </w:rPr>
        <w:t>T</w:t>
      </w:r>
      <w:r w:rsidRPr="000769B9">
        <w:rPr>
          <w:rFonts w:cs="Arial"/>
          <w:color w:val="000000"/>
          <w:szCs w:val="24"/>
        </w:rPr>
        <w:t xml:space="preserve">he carry-over of annual leave during sickness absence </w:t>
      </w:r>
      <w:r w:rsidRPr="000769B9">
        <w:rPr>
          <w:rFonts w:cs="Arial"/>
          <w:color w:val="000000"/>
          <w:szCs w:val="24"/>
        </w:rPr>
        <w:t xml:space="preserve">has been aligned </w:t>
      </w:r>
      <w:r w:rsidRPr="000769B9">
        <w:rPr>
          <w:rFonts w:cs="Arial"/>
          <w:color w:val="000000"/>
          <w:szCs w:val="24"/>
        </w:rPr>
        <w:t xml:space="preserve">to </w:t>
      </w:r>
      <w:r w:rsidRPr="000769B9">
        <w:rPr>
          <w:rFonts w:cs="Arial"/>
          <w:color w:val="000000"/>
          <w:szCs w:val="24"/>
        </w:rPr>
        <w:t xml:space="preserve">the </w:t>
      </w:r>
      <w:r w:rsidRPr="000769B9">
        <w:rPr>
          <w:rFonts w:cs="Arial"/>
          <w:color w:val="000000"/>
          <w:szCs w:val="24"/>
        </w:rPr>
        <w:t xml:space="preserve">statutory requirements.  </w:t>
      </w:r>
    </w:p>
    <w:p w14:paraId="00B2293C" w14:textId="77777777" w:rsidR="000769B9" w:rsidRPr="000769B9" w:rsidRDefault="000769B9" w:rsidP="000769B9">
      <w:pPr>
        <w:pStyle w:val="ListParagraph"/>
        <w:ind w:left="360"/>
        <w:jc w:val="both"/>
        <w:rPr>
          <w:rFonts w:cs="Arial"/>
          <w:color w:val="000000"/>
          <w:szCs w:val="24"/>
        </w:rPr>
      </w:pPr>
    </w:p>
    <w:p w14:paraId="2D97D7DE" w14:textId="02CCAA69" w:rsidR="00663612" w:rsidRPr="000769B9" w:rsidRDefault="006829C3" w:rsidP="000769B9">
      <w:pPr>
        <w:pStyle w:val="ListParagraph"/>
        <w:numPr>
          <w:ilvl w:val="0"/>
          <w:numId w:val="2"/>
        </w:numPr>
        <w:jc w:val="both"/>
        <w:rPr>
          <w:rFonts w:cs="Arial"/>
          <w:color w:val="000000"/>
          <w:szCs w:val="24"/>
        </w:rPr>
      </w:pPr>
      <w:r w:rsidRPr="000769B9">
        <w:rPr>
          <w:rFonts w:eastAsia="Calibri" w:cs="Arial"/>
          <w:color w:val="000000"/>
          <w:szCs w:val="24"/>
          <w:lang w:eastAsia="en-US"/>
        </w:rPr>
        <w:t>T</w:t>
      </w:r>
      <w:r w:rsidRPr="000769B9">
        <w:rPr>
          <w:rFonts w:eastAsia="Calibri" w:cs="Arial"/>
          <w:color w:val="000000"/>
          <w:szCs w:val="24"/>
          <w:lang w:eastAsia="en-US"/>
        </w:rPr>
        <w:t xml:space="preserve">he 'Time Off for Medical Appointments' and 'Manage Sickness Absence and Annual Leave' guides </w:t>
      </w:r>
      <w:r w:rsidRPr="000769B9">
        <w:rPr>
          <w:rFonts w:eastAsia="Calibri" w:cs="Arial"/>
          <w:color w:val="000000"/>
          <w:szCs w:val="24"/>
          <w:lang w:eastAsia="en-US"/>
        </w:rPr>
        <w:t xml:space="preserve">have been incorporated </w:t>
      </w:r>
      <w:r w:rsidRPr="000769B9">
        <w:rPr>
          <w:rFonts w:eastAsia="Calibri" w:cs="Arial"/>
          <w:color w:val="000000"/>
          <w:szCs w:val="24"/>
          <w:lang w:eastAsia="en-US"/>
        </w:rPr>
        <w:t>into this policy.</w:t>
      </w:r>
    </w:p>
    <w:p w14:paraId="5232A8F5" w14:textId="77777777" w:rsidR="000769B9" w:rsidRPr="000769B9" w:rsidRDefault="000769B9" w:rsidP="000769B9">
      <w:pPr>
        <w:pStyle w:val="ListParagraph"/>
        <w:ind w:left="360"/>
        <w:jc w:val="both"/>
        <w:rPr>
          <w:rFonts w:cs="Arial"/>
          <w:color w:val="000000"/>
          <w:szCs w:val="24"/>
        </w:rPr>
      </w:pPr>
    </w:p>
    <w:p w14:paraId="35412927" w14:textId="4DE480EB" w:rsidR="00663612" w:rsidRPr="000769B9" w:rsidRDefault="006829C3" w:rsidP="000769B9">
      <w:pPr>
        <w:pStyle w:val="ListParagraph"/>
        <w:numPr>
          <w:ilvl w:val="0"/>
          <w:numId w:val="2"/>
        </w:numPr>
        <w:jc w:val="both"/>
        <w:rPr>
          <w:rFonts w:cs="Arial"/>
          <w:color w:val="000000"/>
          <w:szCs w:val="24"/>
        </w:rPr>
      </w:pPr>
      <w:r w:rsidRPr="000769B9">
        <w:rPr>
          <w:rFonts w:eastAsia="Calibri" w:cs="Arial"/>
          <w:color w:val="000000"/>
          <w:szCs w:val="24"/>
          <w:lang w:eastAsia="en-US"/>
        </w:rPr>
        <w:t>A revision has be</w:t>
      </w:r>
      <w:r w:rsidRPr="000769B9">
        <w:rPr>
          <w:rFonts w:eastAsia="Calibri" w:cs="Arial"/>
          <w:color w:val="000000"/>
          <w:szCs w:val="24"/>
          <w:lang w:eastAsia="en-US"/>
        </w:rPr>
        <w:t>en made to h</w:t>
      </w:r>
      <w:r w:rsidRPr="000769B9">
        <w:rPr>
          <w:rFonts w:eastAsia="Calibri" w:cs="Arial"/>
          <w:color w:val="000000"/>
          <w:szCs w:val="24"/>
          <w:lang w:eastAsia="en-US"/>
        </w:rPr>
        <w:t>ow time off for hospital admission is covered so that if an employee is admitted for treatment which leaves them unable to work, the time off will be recorded as sickness absence.</w:t>
      </w:r>
      <w:bookmarkEnd w:id="0"/>
    </w:p>
    <w:p w14:paraId="1E9BD0CF" w14:textId="77777777" w:rsidR="000769B9" w:rsidRDefault="000769B9" w:rsidP="000769B9">
      <w:pPr>
        <w:pStyle w:val="ListParagraph"/>
        <w:ind w:left="360"/>
        <w:jc w:val="both"/>
        <w:rPr>
          <w:rFonts w:cs="Arial"/>
          <w:color w:val="000000"/>
          <w:szCs w:val="24"/>
        </w:rPr>
      </w:pPr>
    </w:p>
    <w:p w14:paraId="1FD49E47" w14:textId="5AA64FDE" w:rsidR="00663612" w:rsidRPr="000769B9" w:rsidRDefault="006829C3" w:rsidP="000769B9">
      <w:pPr>
        <w:pStyle w:val="ListParagraph"/>
        <w:numPr>
          <w:ilvl w:val="0"/>
          <w:numId w:val="2"/>
        </w:numPr>
        <w:jc w:val="both"/>
        <w:rPr>
          <w:rFonts w:cs="Arial"/>
          <w:color w:val="000000"/>
          <w:szCs w:val="24"/>
        </w:rPr>
      </w:pPr>
      <w:r w:rsidRPr="000769B9">
        <w:rPr>
          <w:rFonts w:cs="Arial"/>
          <w:color w:val="000000"/>
          <w:szCs w:val="24"/>
        </w:rPr>
        <w:t xml:space="preserve">Highlights that if ill-health retirement is under </w:t>
      </w:r>
      <w:r w:rsidR="00B443B0" w:rsidRPr="000769B9">
        <w:rPr>
          <w:rFonts w:cs="Arial"/>
          <w:color w:val="000000"/>
          <w:szCs w:val="24"/>
        </w:rPr>
        <w:t xml:space="preserve">independent medical </w:t>
      </w:r>
      <w:r w:rsidRPr="000769B9">
        <w:rPr>
          <w:rFonts w:cs="Arial"/>
          <w:color w:val="000000"/>
          <w:szCs w:val="24"/>
        </w:rPr>
        <w:t xml:space="preserve">consideration but a decision is not forthcoming and a timescale for a recommendation is </w:t>
      </w:r>
      <w:r w:rsidR="00B443B0" w:rsidRPr="000769B9">
        <w:rPr>
          <w:rFonts w:cs="Arial"/>
          <w:color w:val="000000"/>
          <w:szCs w:val="24"/>
        </w:rPr>
        <w:t>unknown,</w:t>
      </w:r>
      <w:r w:rsidRPr="000769B9">
        <w:rPr>
          <w:rFonts w:cs="Arial"/>
          <w:color w:val="000000"/>
          <w:szCs w:val="24"/>
        </w:rPr>
        <w:t xml:space="preserve"> the case may proceed to an Attendance Hearing without confirmation of the ill health retirement decision due to no clear timeline for decision and a prot</w:t>
      </w:r>
      <w:r w:rsidRPr="000769B9">
        <w:rPr>
          <w:rFonts w:cs="Arial"/>
          <w:color w:val="000000"/>
          <w:szCs w:val="24"/>
        </w:rPr>
        <w:t>racted period of time waiting for this decision</w:t>
      </w:r>
      <w:r w:rsidR="000769B9">
        <w:rPr>
          <w:rFonts w:cs="Arial"/>
          <w:color w:val="000000"/>
          <w:szCs w:val="24"/>
        </w:rPr>
        <w:t>.</w:t>
      </w:r>
    </w:p>
    <w:p w14:paraId="705A5C3B" w14:textId="77777777" w:rsidR="00D1543B" w:rsidRDefault="00D1543B"/>
    <w:sectPr w:rsidR="00D15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06D85"/>
    <w:multiLevelType w:val="hybridMultilevel"/>
    <w:tmpl w:val="B9D0E1CA"/>
    <w:lvl w:ilvl="0" w:tplc="5A7CD5E6">
      <w:start w:val="1"/>
      <w:numFmt w:val="bullet"/>
      <w:lvlText w:val=""/>
      <w:lvlJc w:val="left"/>
      <w:pPr>
        <w:ind w:left="-351" w:hanging="360"/>
      </w:pPr>
      <w:rPr>
        <w:rFonts w:ascii="Symbol" w:hAnsi="Symbol" w:hint="default"/>
      </w:rPr>
    </w:lvl>
    <w:lvl w:ilvl="1" w:tplc="7AD2302C" w:tentative="1">
      <w:start w:val="1"/>
      <w:numFmt w:val="bullet"/>
      <w:lvlText w:val="o"/>
      <w:lvlJc w:val="left"/>
      <w:pPr>
        <w:ind w:left="369" w:hanging="360"/>
      </w:pPr>
      <w:rPr>
        <w:rFonts w:ascii="Courier New" w:hAnsi="Courier New" w:cs="Courier New" w:hint="default"/>
      </w:rPr>
    </w:lvl>
    <w:lvl w:ilvl="2" w:tplc="650AB738" w:tentative="1">
      <w:start w:val="1"/>
      <w:numFmt w:val="bullet"/>
      <w:lvlText w:val=""/>
      <w:lvlJc w:val="left"/>
      <w:pPr>
        <w:ind w:left="1089" w:hanging="360"/>
      </w:pPr>
      <w:rPr>
        <w:rFonts w:ascii="Wingdings" w:hAnsi="Wingdings" w:hint="default"/>
      </w:rPr>
    </w:lvl>
    <w:lvl w:ilvl="3" w:tplc="6AF4812A" w:tentative="1">
      <w:start w:val="1"/>
      <w:numFmt w:val="bullet"/>
      <w:lvlText w:val=""/>
      <w:lvlJc w:val="left"/>
      <w:pPr>
        <w:ind w:left="1809" w:hanging="360"/>
      </w:pPr>
      <w:rPr>
        <w:rFonts w:ascii="Symbol" w:hAnsi="Symbol" w:hint="default"/>
      </w:rPr>
    </w:lvl>
    <w:lvl w:ilvl="4" w:tplc="BA667CE0" w:tentative="1">
      <w:start w:val="1"/>
      <w:numFmt w:val="bullet"/>
      <w:lvlText w:val="o"/>
      <w:lvlJc w:val="left"/>
      <w:pPr>
        <w:ind w:left="2529" w:hanging="360"/>
      </w:pPr>
      <w:rPr>
        <w:rFonts w:ascii="Courier New" w:hAnsi="Courier New" w:cs="Courier New" w:hint="default"/>
      </w:rPr>
    </w:lvl>
    <w:lvl w:ilvl="5" w:tplc="15BE913C" w:tentative="1">
      <w:start w:val="1"/>
      <w:numFmt w:val="bullet"/>
      <w:lvlText w:val=""/>
      <w:lvlJc w:val="left"/>
      <w:pPr>
        <w:ind w:left="3249" w:hanging="360"/>
      </w:pPr>
      <w:rPr>
        <w:rFonts w:ascii="Wingdings" w:hAnsi="Wingdings" w:hint="default"/>
      </w:rPr>
    </w:lvl>
    <w:lvl w:ilvl="6" w:tplc="114CF322" w:tentative="1">
      <w:start w:val="1"/>
      <w:numFmt w:val="bullet"/>
      <w:lvlText w:val=""/>
      <w:lvlJc w:val="left"/>
      <w:pPr>
        <w:ind w:left="3969" w:hanging="360"/>
      </w:pPr>
      <w:rPr>
        <w:rFonts w:ascii="Symbol" w:hAnsi="Symbol" w:hint="default"/>
      </w:rPr>
    </w:lvl>
    <w:lvl w:ilvl="7" w:tplc="F1504940" w:tentative="1">
      <w:start w:val="1"/>
      <w:numFmt w:val="bullet"/>
      <w:lvlText w:val="o"/>
      <w:lvlJc w:val="left"/>
      <w:pPr>
        <w:ind w:left="4689" w:hanging="360"/>
      </w:pPr>
      <w:rPr>
        <w:rFonts w:ascii="Courier New" w:hAnsi="Courier New" w:cs="Courier New" w:hint="default"/>
      </w:rPr>
    </w:lvl>
    <w:lvl w:ilvl="8" w:tplc="AAA65226" w:tentative="1">
      <w:start w:val="1"/>
      <w:numFmt w:val="bullet"/>
      <w:lvlText w:val=""/>
      <w:lvlJc w:val="left"/>
      <w:pPr>
        <w:ind w:left="5409" w:hanging="360"/>
      </w:pPr>
      <w:rPr>
        <w:rFonts w:ascii="Wingdings" w:hAnsi="Wingdings" w:hint="default"/>
      </w:rPr>
    </w:lvl>
  </w:abstractNum>
  <w:abstractNum w:abstractNumId="1" w15:restartNumberingAfterBreak="0">
    <w:nsid w:val="58FC0EBD"/>
    <w:multiLevelType w:val="hybridMultilevel"/>
    <w:tmpl w:val="1A6E3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D6"/>
    <w:rsid w:val="000769B9"/>
    <w:rsid w:val="00177E53"/>
    <w:rsid w:val="00432CC3"/>
    <w:rsid w:val="004F069E"/>
    <w:rsid w:val="00663612"/>
    <w:rsid w:val="006829C3"/>
    <w:rsid w:val="008B5A18"/>
    <w:rsid w:val="00903FD6"/>
    <w:rsid w:val="009663EE"/>
    <w:rsid w:val="00B443B0"/>
    <w:rsid w:val="00D1543B"/>
    <w:rsid w:val="00D32205"/>
    <w:rsid w:val="00F8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B875"/>
  <w15:chartTrackingRefBased/>
  <w15:docId w15:val="{8CCFBCDE-1B8E-4A07-A5F3-DDDDB11A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61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66361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612"/>
    <w:rPr>
      <w:rFonts w:ascii="Arial" w:eastAsia="Times New Roman" w:hAnsi="Arial" w:cs="Times New Roman"/>
      <w:b/>
      <w:sz w:val="24"/>
      <w:szCs w:val="20"/>
      <w:lang w:eastAsia="en-GB"/>
    </w:rPr>
  </w:style>
  <w:style w:type="paragraph" w:styleId="ListParagraph">
    <w:name w:val="List Paragraph"/>
    <w:basedOn w:val="Normal"/>
    <w:uiPriority w:val="34"/>
    <w:qFormat/>
    <w:rsid w:val="0007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Proctor, Emma</dc:creator>
  <cp:lastModifiedBy>Race, Hannah</cp:lastModifiedBy>
  <cp:revision>6</cp:revision>
  <dcterms:created xsi:type="dcterms:W3CDTF">2021-08-13T10:23:00Z</dcterms:created>
  <dcterms:modified xsi:type="dcterms:W3CDTF">2021-08-26T10:44:00Z</dcterms:modified>
</cp:coreProperties>
</file>